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附件4：</w:t>
      </w:r>
    </w:p>
    <w:tbl>
      <w:tblPr>
        <w:tblStyle w:val="3"/>
        <w:tblpPr w:leftFromText="180" w:rightFromText="180" w:vertAnchor="text" w:horzAnchor="page" w:tblpXSpec="center" w:tblpY="631"/>
        <w:tblOverlap w:val="never"/>
        <w:tblW w:w="97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50"/>
        <w:gridCol w:w="1343"/>
        <w:gridCol w:w="1304"/>
        <w:gridCol w:w="1257"/>
        <w:gridCol w:w="1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实习安排总表（120时长）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9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学员姓名：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模块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  期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实习时长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督导师签字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理论时长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实习时长</w:t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关系建立的技术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倾听、反馈及提问的技巧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心理筛查技术的学习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个体心理指导技术的学习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团体小组活动的带领技巧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专题讲座的学习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沙盘技术的学习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放松减压（正念）技术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绘画团体活动带领的学习与演练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音乐舞动团体活动、带领学习与演练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（鼓圈、唱歌跳舞）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理论补充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(备注:模块11中14个小时的补充理论部分,包括社会心理指导师伦理守则、社会心理指导师的个人修养、社会心理指导师法规限制等内容共4小时，由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北京市社会心理工作联合会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组织专家开展;其余10小时由实习基地根据各个实习基地的实务工作特色安排。此模块技术练习和应用实践合并在其它10个模块中。)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2VmNTU0ZjMwOWFlNmVhMDQ0OTIyN2U3OTJmNWEifQ=="/>
  </w:docVars>
  <w:rsids>
    <w:rsidRoot w:val="00000000"/>
    <w:rsid w:val="708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autoSpaceDE w:val="0"/>
      <w:autoSpaceDN w:val="0"/>
    </w:pPr>
    <w:rPr>
      <w:rFonts w:ascii="仿宋" w:hAnsi="仿宋" w:eastAsia="仿宋" w:cs="仿宋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2022-07-04T09:37:44Z</dcterms:created>
  <dc:creator>56447</dc:creator>
  <cp:lastModifiedBy>你的海鑫</cp:lastModifiedBy>
  <dcterms:modified xsi:type="dcterms:W3CDTF">2022-07-04T09:37:51Z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6F9EF9BDF74D415EA7C68BDB5034EDDC</vt:lpwstr>
  </property>
</Properties>
</file>